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43D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center"/>
        <w:rPr>
          <w:b/>
          <w:bCs/>
          <w:color w:val="000000" w:themeColor="text1"/>
          <w:sz w:val="48"/>
          <w:szCs w:val="48"/>
          <w14:textFill>
            <w14:solidFill>
              <w14:schemeClr w14:val="tx1"/>
            </w14:solidFill>
          </w14:textFill>
        </w:rPr>
      </w:pPr>
      <w:bookmarkStart w:id="0" w:name="OLE_LINK1"/>
      <w:r>
        <w:rPr>
          <w:b/>
          <w:bCs/>
          <w:color w:val="000000" w:themeColor="text1"/>
          <w:sz w:val="48"/>
          <w:szCs w:val="48"/>
          <w14:textFill>
            <w14:solidFill>
              <w14:schemeClr w14:val="tx1"/>
            </w14:solidFill>
          </w14:textFill>
        </w:rPr>
        <w:t>2026年全国教育科学规划年度项目</w:t>
      </w:r>
      <w:bookmarkEnd w:id="0"/>
      <w:r>
        <w:rPr>
          <w:b/>
          <w:bCs/>
          <w:color w:val="000000" w:themeColor="text1"/>
          <w:sz w:val="48"/>
          <w:szCs w:val="48"/>
          <w14:textFill>
            <w14:solidFill>
              <w14:schemeClr w14:val="tx1"/>
            </w14:solidFill>
          </w14:textFill>
        </w:rPr>
        <w:t>申报公告</w:t>
      </w:r>
    </w:p>
    <w:p w14:paraId="2AD5D5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center"/>
        <w:rPr>
          <w:color w:val="FFFFFF"/>
          <w:sz w:val="24"/>
          <w:szCs w:val="24"/>
        </w:rPr>
      </w:pPr>
      <w:r>
        <w:rPr>
          <w:rFonts w:ascii="宋体" w:hAnsi="宋体" w:eastAsia="宋体" w:cs="宋体"/>
          <w:color w:val="FFFFFF"/>
          <w:kern w:val="0"/>
          <w:sz w:val="24"/>
          <w:szCs w:val="24"/>
          <w:lang w:val="en-US" w:eastAsia="zh-CN" w:bidi="ar"/>
        </w:rPr>
        <w:t>2026-05-30 浏览:  139011 分享:</w:t>
      </w:r>
    </w:p>
    <w:p w14:paraId="1CDD07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ascii="仿宋_GB2312" w:hAnsi="Times New Roman" w:eastAsia="仿宋_GB2312" w:cs="仿宋_GB2312"/>
          <w:i w:val="0"/>
          <w:iCs w:val="0"/>
          <w:caps w:val="0"/>
          <w:color w:val="000000"/>
          <w:spacing w:val="0"/>
          <w:sz w:val="32"/>
          <w:szCs w:val="32"/>
          <w:shd w:val="clear" w:fill="FFFFFF"/>
        </w:rPr>
        <w:t>经教育部党组会审议批准，现发布《</w:t>
      </w:r>
      <w:r>
        <w:rPr>
          <w:rFonts w:hint="default" w:ascii="仿宋_GB2312" w:hAnsi="Times New Roman" w:eastAsia="仿宋_GB2312" w:cs="仿宋_GB2312"/>
          <w:i w:val="0"/>
          <w:iCs w:val="0"/>
          <w:caps w:val="0"/>
          <w:color w:val="000000"/>
          <w:spacing w:val="0"/>
          <w:sz w:val="32"/>
          <w:szCs w:val="32"/>
          <w:shd w:val="clear" w:fill="FFFFFF"/>
        </w:rPr>
        <w:t>2026年全国教育科学规划年度项目重点条目与重要方向》，并就做好申报工作有关事项公告如下。</w:t>
      </w:r>
    </w:p>
    <w:p w14:paraId="628545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ascii="黑体" w:hAnsi="宋体" w:eastAsia="黑体" w:cs="黑体"/>
          <w:i w:val="0"/>
          <w:iCs w:val="0"/>
          <w:caps w:val="0"/>
          <w:color w:val="000000"/>
          <w:spacing w:val="0"/>
          <w:sz w:val="32"/>
          <w:szCs w:val="32"/>
          <w:shd w:val="clear" w:fill="FFFFFF"/>
        </w:rPr>
        <w:t>一、</w:t>
      </w:r>
      <w:r>
        <w:rPr>
          <w:rFonts w:hint="default" w:ascii="仿宋_GB2312" w:hAnsi="Times New Roman" w:eastAsia="仿宋_GB2312" w:cs="仿宋_GB2312"/>
          <w:i w:val="0"/>
          <w:iCs w:val="0"/>
          <w:caps w:val="0"/>
          <w:color w:val="000000"/>
          <w:spacing w:val="0"/>
          <w:sz w:val="32"/>
          <w:szCs w:val="32"/>
          <w:shd w:val="clear" w:fill="FFFFFF"/>
        </w:rPr>
        <w:t>2026年全国教育科学规划年度项目申报工作以习近平新时代中国特色社会主</w:t>
      </w:r>
      <w:bookmarkStart w:id="1" w:name="_GoBack"/>
      <w:bookmarkEnd w:id="1"/>
      <w:r>
        <w:rPr>
          <w:rFonts w:hint="default" w:ascii="仿宋_GB2312" w:hAnsi="Times New Roman" w:eastAsia="仿宋_GB2312" w:cs="仿宋_GB2312"/>
          <w:i w:val="0"/>
          <w:iCs w:val="0"/>
          <w:caps w:val="0"/>
          <w:color w:val="000000"/>
          <w:spacing w:val="0"/>
          <w:sz w:val="32"/>
          <w:szCs w:val="32"/>
          <w:shd w:val="clear" w:fill="FFFFFF"/>
        </w:rPr>
        <w:t>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保持基础研究与应用研究协调发展，鼓励开展跨学科综合研究，切实发挥项目示范引导作用，推动中国教育学学科体系、学术体系、话语体系、教材体系建设，推进中国教育学自主知识体系构建，更好服务教育强国建设。</w:t>
      </w:r>
    </w:p>
    <w:p w14:paraId="51AFC6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二、</w:t>
      </w:r>
      <w:r>
        <w:rPr>
          <w:rFonts w:hint="default" w:ascii="仿宋_GB2312" w:hAnsi="Times New Roman" w:eastAsia="仿宋_GB2312" w:cs="仿宋_GB2312"/>
          <w:i w:val="0"/>
          <w:iCs w:val="0"/>
          <w:caps w:val="0"/>
          <w:color w:val="000000"/>
          <w:spacing w:val="0"/>
          <w:sz w:val="32"/>
          <w:szCs w:val="32"/>
          <w:shd w:val="clear" w:fill="FFFFFF"/>
        </w:rPr>
        <w:t>本次受理申报的年度项目包含国家社会科学基金教育学重点项目、一般项目、青年项目和西部项目；教育部重点项目、青年项目和博士生项目。</w:t>
      </w:r>
    </w:p>
    <w:p w14:paraId="432669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07C5C1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4843AA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国家青年项目旨在加强对青年人才的扶持和培养，发挥青年学者优势，推进知识创新、理论创新、方法创新。全国教育科学规划年度项目将持续提升青年项目立项规模。</w:t>
      </w:r>
    </w:p>
    <w:p w14:paraId="16D126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711F6F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教育部重点项目旨在支撑教育改革发展，注重教育政策研究，支持教育实践创新，推动教育实践经验的理论化体系化。</w:t>
      </w:r>
    </w:p>
    <w:p w14:paraId="026E5F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教育部青年项目旨在加强对青年人才的扶持和培养，涵养教育学术人才队伍，拓展教育学术视野，鼓励研究方法创新。</w:t>
      </w:r>
    </w:p>
    <w:p w14:paraId="37D24C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博士生项目旨在着力培养博士生独立开展科学研究的能力，提升科研素养，为教育学科可持续发展涵养储备人才。</w:t>
      </w:r>
    </w:p>
    <w:p w14:paraId="2C4D47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三、</w:t>
      </w:r>
      <w:r>
        <w:rPr>
          <w:rFonts w:hint="default" w:ascii="仿宋_GB2312" w:hAnsi="Times New Roman" w:eastAsia="仿宋_GB2312" w:cs="仿宋_GB2312"/>
          <w:i w:val="0"/>
          <w:iCs w:val="0"/>
          <w:caps w:val="0"/>
          <w:color w:val="000000"/>
          <w:spacing w:val="0"/>
          <w:sz w:val="32"/>
          <w:szCs w:val="32"/>
          <w:shd w:val="clear" w:fill="FFFFFF"/>
        </w:rPr>
        <w:t>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拟定题目或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77252E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四、</w:t>
      </w:r>
      <w:r>
        <w:rPr>
          <w:rFonts w:hint="default" w:ascii="仿宋_GB2312" w:hAnsi="Times New Roman" w:eastAsia="仿宋_GB2312" w:cs="仿宋_GB2312"/>
          <w:i w:val="0"/>
          <w:iCs w:val="0"/>
          <w:caps w:val="0"/>
          <w:color w:val="000000"/>
          <w:spacing w:val="0"/>
          <w:sz w:val="32"/>
          <w:szCs w:val="32"/>
          <w:shd w:val="clear" w:fill="FFFFFF"/>
        </w:rPr>
        <w:t>申请人须遵守中华人民共和国宪法和法律，遵守国家社会科学基金管理规定，具有独立开展研究和组织开展研究的能力，能够承担实质性研究工作，品行端正、学风优良，同时须具备下列相关条件：</w:t>
      </w:r>
    </w:p>
    <w:p w14:paraId="0CE149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（一）国家重点项目和一般项目：具有副高级以上（含）专业技术职称（职务）或具有博士学位。申请人可根据自身研究基础、前期成果、项目论证质量、预期研究成果体量等，选择申报重点项目或一般项目。</w:t>
      </w:r>
    </w:p>
    <w:p w14:paraId="2317E1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（二）国家青年项目、教育部重点项目、教育部青年项目：不作专业技术职称（职务）或博士学位要求。</w:t>
      </w:r>
    </w:p>
    <w:p w14:paraId="1FA92E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（三）青年项目：男性申请人年龄不超过35周岁（1991年6月25日后出生），女性申请人年龄不超过40周岁（1986年6月25日后出生）。</w:t>
      </w:r>
    </w:p>
    <w:p w14:paraId="5E8E5B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739548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（五）博士生项目：本年度继续在有关高校试点博士生项目，向中西部适当倾斜。申请人为学术型博士生。其他全日制博士生不能申请各类项目。</w:t>
      </w:r>
    </w:p>
    <w:p w14:paraId="7BA28E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（六）符合申报要求的在站博士后人员可申请，其中全脱产博士后须从所在博士后工作站申请，在职博士后可以从所在工作单位或博士后工作站申请。</w:t>
      </w:r>
    </w:p>
    <w:p w14:paraId="02B657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七）各项目组列入研究成员须确为必要，并明确征得本人同意、签字确认，否则视为违规申报。申请人可根据实际研究需要，吸收境外研究人员作为项目组成员。申请人及课题组成员均须承诺保证以足够的时间和精力承担或参与项目研究。</w:t>
      </w:r>
    </w:p>
    <w:p w14:paraId="331FB4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eastAsia" w:ascii="黑体" w:hAnsi="宋体" w:eastAsia="黑体" w:cs="黑体"/>
          <w:i w:val="0"/>
          <w:iCs w:val="0"/>
          <w:caps w:val="0"/>
          <w:color w:val="000000"/>
          <w:spacing w:val="0"/>
          <w:kern w:val="0"/>
          <w:sz w:val="32"/>
          <w:szCs w:val="32"/>
          <w:shd w:val="clear" w:fill="FFFFFF"/>
          <w:lang w:val="en-US" w:eastAsia="zh-CN" w:bidi="ar"/>
        </w:rPr>
        <w:t>五、</w:t>
      </w: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239048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六、</w:t>
      </w:r>
      <w:r>
        <w:rPr>
          <w:rFonts w:hint="default" w:ascii="仿宋_GB2312" w:hAnsi="Times New Roman" w:eastAsia="仿宋_GB2312" w:cs="仿宋_GB2312"/>
          <w:i w:val="0"/>
          <w:iCs w:val="0"/>
          <w:caps w:val="0"/>
          <w:color w:val="000000"/>
          <w:spacing w:val="0"/>
          <w:sz w:val="32"/>
          <w:szCs w:val="32"/>
          <w:shd w:val="clear" w:fill="FFFFFF"/>
        </w:rPr>
        <w:t>项目申报范围涉及19个学科。依照《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2296F8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七、</w:t>
      </w:r>
      <w:r>
        <w:rPr>
          <w:rFonts w:hint="default" w:ascii="仿宋_GB2312" w:hAnsi="Times New Roman" w:eastAsia="仿宋_GB2312" w:cs="仿宋_GB2312"/>
          <w:i w:val="0"/>
          <w:iCs w:val="0"/>
          <w:caps w:val="0"/>
          <w:color w:val="000000"/>
          <w:spacing w:val="0"/>
          <w:sz w:val="32"/>
          <w:szCs w:val="32"/>
          <w:shd w:val="clear" w:fill="FFFFFF"/>
        </w:rPr>
        <w:t>2026年全国教育科学规划年度项目全面实行限额申报，限额指标另行下达。各二级管理单位（含各省级教育科学规划办，部委直属高校和直属单位、部省合建高校的科研管理部门）和申请人所在单位要着力发扬学术民主，提高申报质量，从严控制申报数量，减少同类选题重复申报。博士生项目试点学校择优推荐，每校推荐数不超过</w:t>
      </w:r>
      <w:r>
        <w:rPr>
          <w:rFonts w:hint="eastAsia" w:ascii="宋体" w:hAnsi="宋体" w:eastAsia="宋体" w:cs="宋体"/>
          <w:i w:val="0"/>
          <w:iCs w:val="0"/>
          <w:caps w:val="0"/>
          <w:color w:val="000000"/>
          <w:spacing w:val="0"/>
          <w:sz w:val="32"/>
          <w:szCs w:val="32"/>
          <w:shd w:val="clear" w:fill="FFFFFF"/>
        </w:rPr>
        <w:t>12</w:t>
      </w:r>
      <w:r>
        <w:rPr>
          <w:rFonts w:hint="default" w:ascii="仿宋_GB2312" w:hAnsi="Times New Roman" w:eastAsia="仿宋_GB2312" w:cs="仿宋_GB2312"/>
          <w:i w:val="0"/>
          <w:iCs w:val="0"/>
          <w:caps w:val="0"/>
          <w:color w:val="000000"/>
          <w:spacing w:val="0"/>
          <w:sz w:val="32"/>
          <w:szCs w:val="32"/>
          <w:shd w:val="clear" w:fill="FFFFFF"/>
        </w:rPr>
        <w:t>项。博士生项目推荐数不占用所属二级管理单位的限额申报指标。</w:t>
      </w:r>
    </w:p>
    <w:p w14:paraId="77575482">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八、</w:t>
      </w:r>
      <w:r>
        <w:rPr>
          <w:rFonts w:hint="default" w:ascii="仿宋_GB2312" w:hAnsi="Times New Roman" w:eastAsia="仿宋_GB2312" w:cs="仿宋_GB2312"/>
          <w:i w:val="0"/>
          <w:iCs w:val="0"/>
          <w:caps w:val="0"/>
          <w:color w:val="000000"/>
          <w:spacing w:val="0"/>
          <w:sz w:val="32"/>
          <w:szCs w:val="32"/>
          <w:shd w:val="clear" w:fill="FFFFFF"/>
        </w:rPr>
        <w:t>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7C4977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九、</w:t>
      </w:r>
      <w:r>
        <w:rPr>
          <w:rFonts w:hint="default" w:ascii="仿宋_GB2312" w:hAnsi="Times New Roman" w:eastAsia="仿宋_GB2312" w:cs="仿宋_GB2312"/>
          <w:i w:val="0"/>
          <w:iCs w:val="0"/>
          <w:caps w:val="0"/>
          <w:color w:val="000000"/>
          <w:spacing w:val="0"/>
          <w:sz w:val="32"/>
          <w:szCs w:val="32"/>
          <w:shd w:val="clear" w:fill="FFFFFF"/>
        </w:rPr>
        <w:t>全国教育科学规划年度项目的完成时限最长不超过5年，基础理论研究一般为3-5年，应用对策研究一般为2-3年。博士生项目研究期限为2-3年，确保在读期间完成项目。</w:t>
      </w:r>
    </w:p>
    <w:p w14:paraId="1233F5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十、</w:t>
      </w:r>
      <w:r>
        <w:rPr>
          <w:rFonts w:hint="default" w:ascii="仿宋_GB2312" w:hAnsi="Times New Roman" w:eastAsia="仿宋_GB2312" w:cs="仿宋_GB2312"/>
          <w:i w:val="0"/>
          <w:iCs w:val="0"/>
          <w:caps w:val="0"/>
          <w:color w:val="000000"/>
          <w:spacing w:val="0"/>
          <w:sz w:val="32"/>
          <w:szCs w:val="32"/>
          <w:shd w:val="clear" w:fill="FFFFFF"/>
        </w:rPr>
        <w:t>为避免一题多报、交叉申请和重复立项，确保申请人有足够的时间和精力从事项目研究，2026年全国教育科学规划项目年度申报作如下限定：</w:t>
      </w:r>
    </w:p>
    <w:p w14:paraId="764C56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3C6D0E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（二）在研全国教育科学规划项目负责人，不得申报新的全国教育科学规划年度项目（结项证书标注日期应在2026年6月25日之前）。</w:t>
      </w:r>
    </w:p>
    <w:p w14:paraId="0A0B2F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343BD9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（四）不得通过变换责任单位回避前述条款规定，不得将内容基本相同或相近的申报材料以不同申请人的名义申报。</w:t>
      </w:r>
    </w:p>
    <w:p w14:paraId="5C958D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4E5AC2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130AA4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（七）不得使用与已发表、出版的内容基本相同的研究成果申报全国教育科学规划年度项目。</w:t>
      </w:r>
    </w:p>
    <w:p w14:paraId="1C11FE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八）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362172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十一、</w:t>
      </w:r>
      <w:r>
        <w:rPr>
          <w:rFonts w:hint="default" w:ascii="仿宋_GB2312" w:hAnsi="Times New Roman" w:eastAsia="仿宋_GB2312" w:cs="仿宋_GB2312"/>
          <w:i w:val="0"/>
          <w:iCs w:val="0"/>
          <w:caps w:val="0"/>
          <w:color w:val="000000"/>
          <w:spacing w:val="0"/>
          <w:sz w:val="32"/>
          <w:szCs w:val="32"/>
          <w:shd w:val="clear" w:fill="FFFFFF"/>
        </w:rPr>
        <w:t>本年度项目实行同行专家集中网络评审，专家对《全国教育科学规划项目论证活页》（含《选题说明》，以下简称《活页》）进行匿名评审。《活页》论证字数不超过7000字</w:t>
      </w:r>
      <w:r>
        <w:rPr>
          <w:rFonts w:hint="eastAsia" w:ascii="宋体" w:hAnsi="宋体" w:eastAsia="宋体" w:cs="宋体"/>
          <w:i w:val="0"/>
          <w:iCs w:val="0"/>
          <w:caps w:val="0"/>
          <w:color w:val="000000"/>
          <w:spacing w:val="0"/>
          <w:sz w:val="22"/>
          <w:szCs w:val="22"/>
          <w:shd w:val="clear" w:fill="FFFFFF"/>
        </w:rPr>
        <w:t>（</w:t>
      </w:r>
      <w:r>
        <w:rPr>
          <w:rFonts w:hint="default" w:ascii="仿宋_GB2312" w:hAnsi="Times New Roman" w:eastAsia="仿宋_GB2312" w:cs="仿宋_GB2312"/>
          <w:i w:val="0"/>
          <w:iCs w:val="0"/>
          <w:caps w:val="0"/>
          <w:color w:val="000000"/>
          <w:spacing w:val="0"/>
          <w:sz w:val="32"/>
          <w:szCs w:val="32"/>
          <w:shd w:val="clear" w:fill="FFFFFF"/>
        </w:rPr>
        <w:t>含图表内容，其中《选题说明》不超过300字），并承诺具有相关领域研究基础，不得出现任何可能透露申请人身份的信息。博士生项目、中小学和幼儿园申请人申报的项目，实行单列单评。</w:t>
      </w:r>
    </w:p>
    <w:p w14:paraId="71E8FF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十二、申报纪律要求</w:t>
      </w:r>
    </w:p>
    <w:p w14:paraId="517E17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一）贯彻落实中央《关于进一步加强科研诚信建设的若干意见》，申报项目须按照《申请书》和《活页》要求如实填写材料，保证申请信息的真实性和准确性、保证没有知识产权争议、没有违背科研诚信要求的行为。</w:t>
      </w:r>
    </w:p>
    <w:p w14:paraId="167E3B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1F1535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三）获准立项后，项目负责人在项目执行期间要遵守相关承诺，履行约定义务，按期完成研究任务。申报时承诺的预期研究成果为项目结项时必须达到的要件，不得擅自变更。除特殊情况外，国家社会科学基金项目著作类成果须先鉴定、后出版，擅自出版者视为自行终止资助协议。如计划用少数民族语言文字或者外语撰写成果，须在《申请书》论证中予以说明。</w:t>
      </w:r>
    </w:p>
    <w:p w14:paraId="276F05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default" w:ascii="仿宋_GB2312" w:hAnsi="Times New Roman" w:eastAsia="仿宋_GB2312" w:cs="仿宋_GB2312"/>
          <w:i w:val="0"/>
          <w:iCs w:val="0"/>
          <w:caps w:val="0"/>
          <w:color w:val="000000"/>
          <w:spacing w:val="0"/>
          <w:sz w:val="32"/>
          <w:szCs w:val="32"/>
          <w:shd w:val="clear" w:fill="FFFFFF"/>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1731BA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eastAsia" w:ascii="黑体" w:hAnsi="宋体" w:eastAsia="黑体" w:cs="黑体"/>
          <w:i w:val="0"/>
          <w:iCs w:val="0"/>
          <w:caps w:val="0"/>
          <w:color w:val="000000"/>
          <w:spacing w:val="0"/>
          <w:kern w:val="0"/>
          <w:sz w:val="32"/>
          <w:szCs w:val="32"/>
          <w:shd w:val="clear" w:fill="FFFFFF"/>
          <w:lang w:val="en-US" w:eastAsia="zh-CN" w:bidi="ar"/>
        </w:rPr>
        <w:t>十三、</w:t>
      </w: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本年度实行网络申报。“全国教育科学规划管理平台”（https://202.205.185.227/，以下简称平台）中的</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w:t>
      </w: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项目申报系统</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w:t>
      </w: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为本次申报的唯一网络平台。网络申报办法及流程管理以该系统为准。项目申报材料可从全国教育科学规划领导小组办公室（以下简称全规办）平台或网站下载。全规办不直接受理个人申报。</w:t>
      </w:r>
    </w:p>
    <w:p w14:paraId="4EA2EE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十四、申报时间安排</w:t>
      </w:r>
    </w:p>
    <w:p w14:paraId="294E31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申报系统于2026年6月10日零时至6月25日17时开放。在此期间申请人可登录平台，填写并导出《申请书》，签字并加盖单位公章后，全文扫描在一个文档中，跟PDF版本的《活页》一起提交到平台上。要确保PDF版本的《申请书》和《活页》内容与在线填报的完全一致。逾期系统自动关闭，不再受理申报（由省级教育科学规划办管理的单位需在此段时间内同步完成审核提交）。</w:t>
      </w:r>
    </w:p>
    <w:p w14:paraId="63ED96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十五、审核时间安排</w:t>
      </w:r>
    </w:p>
    <w:p w14:paraId="7C6BB7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二级管理单位网上审核提交截止时间为2026年7月3日17时。须把加盖公章的《申报数据汇总表》扫描件及审查合格、在限额之内的《申请书》《活页》在平台上提交至全规办。省级教育科学规划办无需在《申请书》上加盖公章。审核期间可以退回修改提交，但不能新增申报。请严格按照以上时间要求审核、报送材料，逾期不予受理。</w:t>
      </w:r>
    </w:p>
    <w:p w14:paraId="2E2207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8" w:lineRule="atLeast"/>
        <w:ind w:left="0" w:right="0" w:firstLine="640"/>
      </w:pPr>
      <w:r>
        <w:rPr>
          <w:rFonts w:hint="eastAsia" w:ascii="黑体" w:hAnsi="宋体" w:eastAsia="黑体" w:cs="黑体"/>
          <w:i w:val="0"/>
          <w:iCs w:val="0"/>
          <w:caps w:val="0"/>
          <w:color w:val="000000"/>
          <w:spacing w:val="0"/>
          <w:sz w:val="32"/>
          <w:szCs w:val="32"/>
          <w:shd w:val="clear" w:fill="FFFFFF"/>
        </w:rPr>
        <w:t>十六、立项后材料报送安排</w:t>
      </w:r>
    </w:p>
    <w:p w14:paraId="3BFFB5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在平台上提交给全规办的所有材料均视为经过各级单位审核同意的文本。待立项公布后，请二级管理单位在1个月之内，在平台上下载所属立项项目的《申请书》（不需要《活页》），补全公章，将所有立项项目申报书按立项名单顺序扫描为一个PDF文档，并命名为“二级管理单位名称+2026年立项项目申报书（立项数量）”，上传至平台存档。申报年度项目所有类别的《申请书》《活页》和《申报数据汇总表》均无需寄送纸质版。</w:t>
      </w:r>
    </w:p>
    <w:p w14:paraId="028DC4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若有问题需咨询，请先查看《2026年全国教育科学规划各类项目申报常见问题答疑》和《</w:t>
      </w:r>
      <w:r>
        <w:rPr>
          <w:rFonts w:hint="default" w:ascii="Times New Roman" w:hAnsi="Times New Roman" w:cs="Times New Roman" w:eastAsiaTheme="minorEastAsia"/>
          <w:i w:val="0"/>
          <w:iCs w:val="0"/>
          <w:caps w:val="0"/>
          <w:color w:val="004098"/>
          <w:spacing w:val="0"/>
          <w:kern w:val="0"/>
          <w:sz w:val="24"/>
          <w:szCs w:val="24"/>
          <w:u w:val="none"/>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shd w:val="clear" w:fill="FFFFFF"/>
          <w:lang w:val="en-US" w:eastAsia="zh-CN" w:bidi="ar"/>
        </w:rPr>
        <w:instrText xml:space="preserve"> HYPERLINK "https://202.205.185.227/indexAction!do_downLoad.action?fId=ff8080818f527e3a018f5b2a02b21127" </w:instrText>
      </w:r>
      <w:r>
        <w:rPr>
          <w:rFonts w:hint="default" w:ascii="Times New Roman" w:hAnsi="Times New Roman" w:cs="Times New Roman" w:eastAsiaTheme="minorEastAsia"/>
          <w:i w:val="0"/>
          <w:iCs w:val="0"/>
          <w:caps w:val="0"/>
          <w:color w:val="004098"/>
          <w:spacing w:val="0"/>
          <w:kern w:val="0"/>
          <w:sz w:val="24"/>
          <w:szCs w:val="24"/>
          <w:u w:val="none"/>
          <w:shd w:val="clear" w:fill="FFFFFF"/>
          <w:lang w:val="en-US" w:eastAsia="zh-CN" w:bidi="ar"/>
        </w:rPr>
        <w:fldChar w:fldCharType="separate"/>
      </w:r>
      <w:r>
        <w:rPr>
          <w:rStyle w:val="6"/>
          <w:rFonts w:hint="default" w:ascii="仿宋_GB2312" w:hAnsi="Times New Roman" w:eastAsia="仿宋_GB2312" w:cs="仿宋_GB2312"/>
          <w:i w:val="0"/>
          <w:iCs w:val="0"/>
          <w:caps w:val="0"/>
          <w:color w:val="000000"/>
          <w:spacing w:val="0"/>
          <w:sz w:val="32"/>
          <w:szCs w:val="32"/>
          <w:u w:val="none"/>
          <w:shd w:val="clear" w:fill="FFFFFF"/>
        </w:rPr>
        <w:t>全国教育科学规划管理平台操作手册-其他类别项目申报</w:t>
      </w:r>
      <w:r>
        <w:rPr>
          <w:rFonts w:hint="default" w:ascii="Times New Roman" w:hAnsi="Times New Roman" w:cs="Times New Roman" w:eastAsiaTheme="minorEastAsia"/>
          <w:i w:val="0"/>
          <w:iCs w:val="0"/>
          <w:caps w:val="0"/>
          <w:color w:val="004098"/>
          <w:spacing w:val="0"/>
          <w:kern w:val="0"/>
          <w:sz w:val="24"/>
          <w:szCs w:val="24"/>
          <w:u w:val="none"/>
          <w:shd w:val="clear" w:fill="FFFFFF"/>
          <w:lang w:val="en-US" w:eastAsia="zh-CN" w:bidi="ar"/>
        </w:rPr>
        <w:fldChar w:fldCharType="end"/>
      </w: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》。再有疑问，二级管理单位咨询全规办，地方高校及中小学请先咨询本省教育科学规划办（省级教育科学规划办电话请上管理平台的“通知公告”栏目查询）。</w:t>
      </w:r>
    </w:p>
    <w:p w14:paraId="70D71E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 </w:t>
      </w:r>
    </w:p>
    <w:p w14:paraId="2B7486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64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全规办咨询电话：010—62003909、62003308；</w:t>
      </w:r>
    </w:p>
    <w:p w14:paraId="112F97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8" w:lineRule="atLeast"/>
        <w:ind w:left="0" w:right="640" w:firstLine="640"/>
        <w:jc w:val="left"/>
      </w:pPr>
      <w:r>
        <w:rPr>
          <w:rFonts w:hint="default" w:ascii="仿宋_GB2312" w:hAnsi="Times New Roman" w:eastAsia="仿宋_GB2312" w:cs="仿宋_GB2312"/>
          <w:i w:val="0"/>
          <w:iCs w:val="0"/>
          <w:caps w:val="0"/>
          <w:color w:val="000000"/>
          <w:spacing w:val="0"/>
          <w:kern w:val="0"/>
          <w:sz w:val="32"/>
          <w:szCs w:val="32"/>
          <w:shd w:val="clear" w:fill="FFFFFF"/>
          <w:lang w:val="en-US" w:eastAsia="zh-CN" w:bidi="ar"/>
        </w:rPr>
        <w:t>平台系统及技术问题请咨询400-800-1636，电子信箱：</w:t>
      </w:r>
      <w:r>
        <w:rPr>
          <w:rFonts w:hint="default" w:ascii="Times New Roman" w:hAnsi="Times New Roman" w:cs="Times New Roman" w:eastAsiaTheme="minorEastAsia"/>
          <w:i w:val="0"/>
          <w:iCs w:val="0"/>
          <w:caps w:val="0"/>
          <w:color w:val="004098"/>
          <w:spacing w:val="0"/>
          <w:kern w:val="0"/>
          <w:sz w:val="24"/>
          <w:szCs w:val="24"/>
          <w:u w:val="none"/>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color w:val="004098"/>
          <w:spacing w:val="0"/>
          <w:kern w:val="0"/>
          <w:sz w:val="24"/>
          <w:szCs w:val="24"/>
          <w:u w:val="none"/>
          <w:shd w:val="clear" w:fill="FFFFFF"/>
          <w:lang w:val="en-US" w:eastAsia="zh-CN" w:bidi="ar"/>
        </w:rPr>
        <w:fldChar w:fldCharType="separate"/>
      </w:r>
      <w:r>
        <w:rPr>
          <w:rStyle w:val="6"/>
          <w:rFonts w:hint="default" w:ascii="仿宋_GB2312" w:hAnsi="Times New Roman" w:eastAsia="仿宋_GB2312" w:cs="仿宋_GB2312"/>
          <w:i w:val="0"/>
          <w:iCs w:val="0"/>
          <w:caps w:val="0"/>
          <w:color w:val="000000"/>
          <w:spacing w:val="0"/>
          <w:sz w:val="32"/>
          <w:szCs w:val="32"/>
          <w:u w:val="none"/>
          <w:shd w:val="clear" w:fill="FFFFFF"/>
        </w:rPr>
        <w:t>support@e-plugger.com。</w:t>
      </w:r>
      <w:r>
        <w:rPr>
          <w:rFonts w:hint="default" w:ascii="Times New Roman" w:hAnsi="Times New Roman" w:cs="Times New Roman" w:eastAsiaTheme="minorEastAsia"/>
          <w:i w:val="0"/>
          <w:iCs w:val="0"/>
          <w:caps w:val="0"/>
          <w:color w:val="004098"/>
          <w:spacing w:val="0"/>
          <w:kern w:val="0"/>
          <w:sz w:val="24"/>
          <w:szCs w:val="24"/>
          <w:u w:val="none"/>
          <w:shd w:val="clear" w:fill="FFFFFF"/>
          <w:lang w:val="en-US" w:eastAsia="zh-CN" w:bidi="ar"/>
        </w:rPr>
        <w:fldChar w:fldCharType="end"/>
      </w:r>
    </w:p>
    <w:p w14:paraId="18F65A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jc w:val="left"/>
      </w:pPr>
      <w:r>
        <w:rPr>
          <w:rFonts w:hint="default" w:ascii="Times New Roman" w:hAnsi="Times New Roman" w:cs="Times New Roman" w:eastAsiaTheme="minorEastAsia"/>
          <w:i w:val="0"/>
          <w:iCs w:val="0"/>
          <w:caps w:val="0"/>
          <w:color w:val="303133"/>
          <w:spacing w:val="0"/>
          <w:kern w:val="0"/>
          <w:sz w:val="32"/>
          <w:szCs w:val="32"/>
          <w:shd w:val="clear" w:fill="FFFFFF"/>
          <w:lang w:val="en-US" w:eastAsia="zh-CN" w:bidi="ar"/>
        </w:rPr>
        <w:t> </w:t>
      </w:r>
    </w:p>
    <w:p w14:paraId="2DD90A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0" w:firstLine="640"/>
        <w:jc w:val="right"/>
        <w:rPr>
          <w:rFonts w:hint="default" w:ascii="Times New Roman" w:hAnsi="Times New Roman" w:cs="Times New Roman" w:eastAsiaTheme="minorEastAsia"/>
          <w:i w:val="0"/>
          <w:iCs w:val="0"/>
          <w:caps w:val="0"/>
          <w:color w:val="303133"/>
          <w:spacing w:val="0"/>
          <w:kern w:val="0"/>
          <w:sz w:val="32"/>
          <w:szCs w:val="32"/>
          <w:shd w:val="clear" w:fill="FFFFFF"/>
          <w:lang w:val="en-US" w:eastAsia="zh-CN" w:bidi="ar"/>
        </w:rPr>
      </w:pPr>
      <w:r>
        <w:rPr>
          <w:rFonts w:ascii="微软雅黑" w:hAnsi="微软雅黑" w:eastAsia="微软雅黑" w:cs="微软雅黑"/>
          <w:i w:val="0"/>
          <w:iCs w:val="0"/>
          <w:caps w:val="0"/>
          <w:color w:val="303133"/>
          <w:spacing w:val="0"/>
          <w:kern w:val="0"/>
          <w:sz w:val="32"/>
          <w:szCs w:val="32"/>
          <w:shd w:val="clear" w:fill="FFFFFF"/>
          <w:lang w:val="en-US" w:eastAsia="zh-CN" w:bidi="ar"/>
        </w:rPr>
        <w:t> </w:t>
      </w:r>
      <w:r>
        <w:rPr>
          <w:rFonts w:hint="default" w:ascii="仿宋_GB2312" w:hAnsi="Times New Roman" w:eastAsia="仿宋_GB2312" w:cs="仿宋_GB2312"/>
          <w:i w:val="0"/>
          <w:iCs w:val="0"/>
          <w:caps w:val="0"/>
          <w:color w:val="303133"/>
          <w:spacing w:val="0"/>
          <w:kern w:val="0"/>
          <w:sz w:val="32"/>
          <w:szCs w:val="32"/>
          <w:shd w:val="clear" w:fill="FFFFFF"/>
          <w:lang w:val="en-US" w:eastAsia="zh-CN" w:bidi="ar"/>
        </w:rPr>
        <w:t>全国教育科学规划领导</w:t>
      </w:r>
      <w:r>
        <w:rPr>
          <w:rFonts w:ascii="仿宋_GB2312" w:hAnsi="宋体" w:eastAsia="仿宋_GB2312" w:cs="仿宋_GB2312"/>
          <w:i w:val="0"/>
          <w:iCs w:val="0"/>
          <w:caps w:val="0"/>
          <w:color w:val="303133"/>
          <w:spacing w:val="0"/>
          <w:sz w:val="32"/>
          <w:szCs w:val="32"/>
          <w:shd w:val="clear" w:fill="FFFFFF"/>
        </w:rPr>
        <w:t>小组办公室</w:t>
      </w:r>
    </w:p>
    <w:p w14:paraId="076829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right"/>
      </w:pPr>
      <w:r>
        <w:rPr>
          <w:rFonts w:hint="default" w:ascii="Times New Roman" w:hAnsi="Times New Roman" w:eastAsia="仿宋_GB2312" w:cs="Times New Roman"/>
          <w:i w:val="0"/>
          <w:iCs w:val="0"/>
          <w:caps w:val="0"/>
          <w:color w:val="303133"/>
          <w:spacing w:val="0"/>
          <w:kern w:val="0"/>
          <w:sz w:val="32"/>
          <w:szCs w:val="32"/>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shd w:val="clear" w:fill="FFFFFF"/>
          <w:lang w:val="en-US" w:eastAsia="zh-CN" w:bidi="ar"/>
        </w:rPr>
        <w:t>5</w:t>
      </w:r>
      <w:r>
        <w:rPr>
          <w:rFonts w:hint="default" w:ascii="仿宋_GB2312" w:hAnsi="Times New Roman" w:eastAsia="仿宋_GB2312" w:cs="仿宋_GB2312"/>
          <w:i w:val="0"/>
          <w:iCs w:val="0"/>
          <w:caps w:val="0"/>
          <w:color w:val="303133"/>
          <w:spacing w:val="0"/>
          <w:kern w:val="0"/>
          <w:sz w:val="32"/>
          <w:szCs w:val="32"/>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shd w:val="clear" w:fill="FFFFFF"/>
          <w:lang w:val="en-US" w:eastAsia="zh-CN" w:bidi="ar"/>
        </w:rPr>
        <w:t>30</w:t>
      </w:r>
      <w:r>
        <w:rPr>
          <w:rFonts w:hint="default" w:ascii="仿宋_GB2312" w:hAnsi="Times New Roman" w:eastAsia="仿宋_GB2312" w:cs="仿宋_GB2312"/>
          <w:i w:val="0"/>
          <w:iCs w:val="0"/>
          <w:caps w:val="0"/>
          <w:color w:val="303133"/>
          <w:spacing w:val="0"/>
          <w:kern w:val="0"/>
          <w:sz w:val="32"/>
          <w:szCs w:val="32"/>
          <w:shd w:val="clear" w:fill="FFFFFF"/>
          <w:lang w:val="en-US" w:eastAsia="zh-CN" w:bidi="ar"/>
        </w:rPr>
        <w:t>日</w:t>
      </w:r>
    </w:p>
    <w:p w14:paraId="29750F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left"/>
      </w:pPr>
      <w:r>
        <w:rPr>
          <w:rFonts w:hint="default" w:ascii="Times New Roman" w:hAnsi="Times New Roman" w:cs="Times New Roman" w:eastAsiaTheme="minorEastAsia"/>
          <w:i w:val="0"/>
          <w:iCs w:val="0"/>
          <w:caps w:val="0"/>
          <w:color w:val="303133"/>
          <w:spacing w:val="0"/>
          <w:kern w:val="0"/>
          <w:sz w:val="24"/>
          <w:szCs w:val="24"/>
          <w:shd w:val="clear" w:fill="FFFFFF"/>
          <w:lang w:val="en-US" w:eastAsia="zh-CN" w:bidi="ar"/>
        </w:rPr>
        <w:t> </w:t>
      </w:r>
    </w:p>
    <w:p w14:paraId="0E89EE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N2ViYWNkYzdkYzBhZThiYTlhMTUwNDgxZDBlOWUifQ=="/>
  </w:docVars>
  <w:rsids>
    <w:rsidRoot w:val="00000000"/>
    <w:rsid w:val="34D90470"/>
    <w:rsid w:val="40E86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5187</Words>
  <Characters>5380</Characters>
  <Lines>0</Lines>
  <Paragraphs>0</Paragraphs>
  <TotalTime>8</TotalTime>
  <ScaleCrop>false</ScaleCrop>
  <LinksUpToDate>false</LinksUpToDate>
  <CharactersWithSpaces>5388</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2026-06-11T05:44:00Z</dcterms:created>
  <dc:creator>zhaoyi</dc:creator>
  <cp:lastModifiedBy>crystal</cp:lastModifiedBy>
  <dcterms:modified xsi:type="dcterms:W3CDTF">2026-06-12T03:31:16Z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196F1EEE22784BB7BED03F674E062C08_12</vt:lpwstr>
  </property>
</Properties>
</file>