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1E47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2E95E0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55A22B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2026年度市级科技计划项目申报指南</w:t>
      </w:r>
      <w:bookmarkEnd w:id="0"/>
    </w:p>
    <w:p w14:paraId="19EA8C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02D1F5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2026年度</w:t>
      </w:r>
      <w:r>
        <w:rPr>
          <w:rFonts w:hint="eastAsia" w:ascii="仿宋_GB2312" w:hAnsi="仿宋_GB2312" w:eastAsia="仿宋_GB2312" w:cs="仿宋_GB2312"/>
          <w:color w:val="auto"/>
          <w:kern w:val="2"/>
          <w:sz w:val="32"/>
          <w:szCs w:val="32"/>
          <w:lang w:val="en-US" w:eastAsia="zh-CN" w:bidi="ar-SA"/>
        </w:rPr>
        <w:t>市级科技计划项目</w:t>
      </w:r>
      <w:r>
        <w:rPr>
          <w:rFonts w:hint="eastAsia" w:ascii="仿宋_GB2312" w:hAnsi="仿宋_GB2312" w:eastAsia="仿宋_GB2312" w:cs="仿宋_GB2312"/>
          <w:color w:val="auto"/>
          <w:sz w:val="32"/>
          <w:szCs w:val="32"/>
          <w:lang w:val="en-US" w:eastAsia="zh-CN"/>
        </w:rPr>
        <w:t>重点围绕以下方向申报。同时，指南未能涵盖领域的高质量项目以及交叉前沿领域、重点领域前瞻性、引领性项目，国家、省、市部署的重大工程、重大任务、重大项目，均可申报储备，申报项目将按照管理办法要求与重点方向项目一并评审论证。</w:t>
      </w:r>
    </w:p>
    <w:p w14:paraId="68669B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一、科技重大专项</w:t>
      </w:r>
    </w:p>
    <w:p w14:paraId="5A6C4D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（一）高能级平台创新专项</w:t>
      </w:r>
    </w:p>
    <w:p w14:paraId="437CB9D3">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支持</w:t>
      </w:r>
      <w:r>
        <w:rPr>
          <w:rFonts w:hint="eastAsia" w:ascii="仿宋_GB2312" w:eastAsia="仿宋_GB2312"/>
          <w:color w:val="auto"/>
          <w:sz w:val="32"/>
          <w:szCs w:val="32"/>
          <w:lang w:val="en-US" w:eastAsia="zh-CN"/>
        </w:rPr>
        <w:t>在兰</w:t>
      </w:r>
      <w:r>
        <w:rPr>
          <w:rFonts w:hint="eastAsia" w:ascii="仿宋_GB2312" w:eastAsia="仿宋_GB2312"/>
          <w:color w:val="auto"/>
          <w:sz w:val="32"/>
          <w:szCs w:val="32"/>
        </w:rPr>
        <w:t>战略科技力量前瞻性布局，围绕重大技术攻关项目研发，开展原创性、前沿性、引领性科研攻关，提升重离子物理、材料科学、稀贵金属、生物医药等领域基础研究与关键核心技术源头供给能力，力争突破一批产业重大关键技术，形成标志性重大产品。</w:t>
      </w:r>
    </w:p>
    <w:p w14:paraId="422A491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eastAsia="仿宋_GB2312"/>
          <w:color w:val="auto"/>
          <w:sz w:val="32"/>
          <w:szCs w:val="32"/>
        </w:rPr>
      </w:pPr>
      <w:r>
        <w:rPr>
          <w:rFonts w:hint="eastAsia" w:ascii="仿宋_GB2312" w:eastAsia="仿宋_GB2312"/>
          <w:b/>
          <w:color w:val="auto"/>
          <w:sz w:val="32"/>
          <w:szCs w:val="32"/>
        </w:rPr>
        <w:t>申报条件：</w:t>
      </w:r>
      <w:r>
        <w:rPr>
          <w:rFonts w:hint="eastAsia" w:ascii="仿宋_GB2312" w:eastAsia="仿宋_GB2312"/>
          <w:color w:val="auto"/>
          <w:sz w:val="32"/>
          <w:szCs w:val="32"/>
        </w:rPr>
        <w:t>项目申报主体为国家实验室、全国重点实验室、国家重点实验室、国家级工程技术研究中心、国家创新中心等国家级创新平台承载单位，依托平台为经认定的国家级创新平台。企业牵头申报的，应具备较强的研发基础和资金配套能力，自筹资金不低于项目总投资的</w:t>
      </w:r>
      <w:r>
        <w:rPr>
          <w:rFonts w:ascii="仿宋_GB2312" w:eastAsia="仿宋_GB2312"/>
          <w:color w:val="auto"/>
          <w:sz w:val="32"/>
          <w:szCs w:val="32"/>
        </w:rPr>
        <w:t>70%。</w:t>
      </w:r>
      <w:r>
        <w:rPr>
          <w:rFonts w:hint="eastAsia" w:ascii="仿宋_GB2312" w:eastAsia="仿宋_GB2312"/>
          <w:color w:val="auto"/>
          <w:sz w:val="32"/>
          <w:szCs w:val="32"/>
        </w:rPr>
        <w:t>项目执行期一般为</w:t>
      </w:r>
      <w:r>
        <w:rPr>
          <w:rFonts w:ascii="仿宋_GB2312" w:eastAsia="仿宋_GB2312"/>
          <w:color w:val="auto"/>
          <w:sz w:val="32"/>
          <w:szCs w:val="32"/>
        </w:rPr>
        <w:t>2-3年</w:t>
      </w:r>
      <w:r>
        <w:rPr>
          <w:rFonts w:hint="eastAsia" w:ascii="仿宋_GB2312" w:eastAsia="仿宋_GB2312"/>
          <w:color w:val="auto"/>
          <w:sz w:val="32"/>
          <w:szCs w:val="32"/>
        </w:rPr>
        <w:t>。</w:t>
      </w:r>
    </w:p>
    <w:p w14:paraId="187A5C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（二）概念验证、中试及应用场景建设专项</w:t>
      </w:r>
    </w:p>
    <w:p w14:paraId="6DB7D1C0">
      <w:pPr>
        <w:spacing w:line="60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聚焦</w:t>
      </w:r>
      <w:r>
        <w:rPr>
          <w:rFonts w:hint="eastAsia" w:ascii="仿宋_GB2312" w:eastAsia="仿宋_GB2312"/>
          <w:color w:val="auto"/>
          <w:sz w:val="32"/>
          <w:szCs w:val="32"/>
        </w:rPr>
        <w:t>石油化工、有色冶金、生物医药、新材料、装备制造、数据信息</w:t>
      </w:r>
      <w:r>
        <w:rPr>
          <w:rFonts w:ascii="仿宋_GB2312" w:eastAsia="仿宋_GB2312"/>
          <w:color w:val="auto"/>
          <w:sz w:val="32"/>
          <w:szCs w:val="32"/>
        </w:rPr>
        <w:t>等重点产业领域</w:t>
      </w:r>
      <w:r>
        <w:rPr>
          <w:rFonts w:hint="eastAsia" w:ascii="仿宋_GB2312" w:eastAsia="仿宋_GB2312"/>
          <w:color w:val="auto"/>
          <w:sz w:val="32"/>
          <w:szCs w:val="32"/>
        </w:rPr>
        <w:t>成果转化需求以及人工智能</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、智慧化应用等</w:t>
      </w:r>
      <w:r>
        <w:rPr>
          <w:rFonts w:ascii="仿宋_GB2312" w:eastAsia="仿宋_GB2312"/>
          <w:color w:val="auto"/>
          <w:sz w:val="32"/>
          <w:szCs w:val="32"/>
        </w:rPr>
        <w:t>，</w:t>
      </w:r>
      <w:r>
        <w:rPr>
          <w:rFonts w:hint="eastAsia" w:ascii="仿宋_GB2312" w:eastAsia="仿宋_GB2312"/>
          <w:color w:val="auto"/>
          <w:sz w:val="32"/>
          <w:szCs w:val="32"/>
        </w:rPr>
        <w:t>支持布局建设一批应用场景，促进实验室成果与产业发展需求深度融合</w:t>
      </w:r>
      <w:r>
        <w:rPr>
          <w:rFonts w:hint="eastAsia" w:ascii="仿宋_GB2312" w:eastAsia="仿宋_GB2312"/>
          <w:color w:val="auto"/>
          <w:sz w:val="32"/>
          <w:szCs w:val="32"/>
          <w:lang w:eastAsia="zh-CN"/>
        </w:rPr>
        <w:t>。</w:t>
      </w:r>
    </w:p>
    <w:p w14:paraId="1DC065E3">
      <w:pPr>
        <w:spacing w:line="600" w:lineRule="exact"/>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b/>
          <w:color w:val="auto"/>
          <w:sz w:val="32"/>
          <w:szCs w:val="32"/>
        </w:rPr>
        <w:t>申报条件：</w:t>
      </w:r>
      <w:r>
        <w:rPr>
          <w:rFonts w:hint="eastAsia" w:ascii="仿宋_GB2312" w:eastAsia="仿宋_GB2312"/>
          <w:color w:val="auto"/>
          <w:sz w:val="32"/>
          <w:szCs w:val="32"/>
        </w:rPr>
        <w:t>应用场景应面向我市重点产业，具备创新性、前瞻性和可操作性，能够有效推动新技术、新产品、新模式的示范应用、产业化推广或城市治理。</w:t>
      </w:r>
    </w:p>
    <w:p w14:paraId="13D0C9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（三）重点研发计划专项</w:t>
      </w:r>
    </w:p>
    <w:p w14:paraId="03F29FD5">
      <w:pPr>
        <w:keepNext w:val="0"/>
        <w:keepLines w:val="0"/>
        <w:widowControl/>
        <w:suppressLineNumbers w:val="0"/>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支持科研“新四军”强化产学研协作，围绕“</w:t>
      </w:r>
      <w:r>
        <w:rPr>
          <w:rFonts w:ascii="仿宋_GB2312" w:eastAsia="仿宋_GB2312"/>
          <w:color w:val="auto"/>
          <w:sz w:val="32"/>
          <w:szCs w:val="32"/>
        </w:rPr>
        <w:t>3+2</w:t>
      </w:r>
      <w:r>
        <w:rPr>
          <w:rFonts w:hint="eastAsia" w:ascii="仿宋_GB2312" w:eastAsia="仿宋_GB2312"/>
          <w:color w:val="auto"/>
          <w:sz w:val="32"/>
          <w:szCs w:val="32"/>
        </w:rPr>
        <w:t>”</w:t>
      </w:r>
      <w:r>
        <w:rPr>
          <w:rFonts w:ascii="仿宋_GB2312" w:eastAsia="仿宋_GB2312"/>
          <w:color w:val="auto"/>
          <w:sz w:val="32"/>
          <w:szCs w:val="32"/>
        </w:rPr>
        <w:t>现代产业体系、</w:t>
      </w:r>
      <w:r>
        <w:rPr>
          <w:rFonts w:hint="eastAsia" w:ascii="仿宋_GB2312" w:eastAsia="仿宋_GB2312"/>
          <w:color w:val="auto"/>
          <w:sz w:val="32"/>
          <w:szCs w:val="32"/>
        </w:rPr>
        <w:t>“</w:t>
      </w:r>
      <w:r>
        <w:rPr>
          <w:rFonts w:ascii="仿宋_GB2312" w:eastAsia="仿宋_GB2312"/>
          <w:color w:val="auto"/>
          <w:sz w:val="32"/>
          <w:szCs w:val="32"/>
        </w:rPr>
        <w:t>6+X</w:t>
      </w:r>
      <w:r>
        <w:rPr>
          <w:rFonts w:hint="eastAsia" w:ascii="仿宋_GB2312" w:eastAsia="仿宋_GB2312"/>
          <w:color w:val="auto"/>
          <w:sz w:val="32"/>
          <w:szCs w:val="32"/>
        </w:rPr>
        <w:t>”</w:t>
      </w:r>
      <w:r>
        <w:rPr>
          <w:rFonts w:ascii="仿宋_GB2312" w:eastAsia="仿宋_GB2312"/>
          <w:color w:val="auto"/>
          <w:sz w:val="32"/>
          <w:szCs w:val="32"/>
        </w:rPr>
        <w:t>先进制造业产业集群和</w:t>
      </w:r>
      <w:r>
        <w:rPr>
          <w:rFonts w:hint="eastAsia" w:ascii="仿宋_GB2312" w:eastAsia="仿宋_GB2312"/>
          <w:color w:val="auto"/>
          <w:sz w:val="32"/>
          <w:szCs w:val="32"/>
        </w:rPr>
        <w:t>“</w:t>
      </w:r>
      <w:r>
        <w:rPr>
          <w:rFonts w:ascii="仿宋_GB2312" w:eastAsia="仿宋_GB2312"/>
          <w:color w:val="auto"/>
          <w:sz w:val="32"/>
          <w:szCs w:val="32"/>
        </w:rPr>
        <w:t>7+N</w:t>
      </w:r>
      <w:r>
        <w:rPr>
          <w:rFonts w:hint="eastAsia" w:ascii="仿宋_GB2312" w:eastAsia="仿宋_GB2312"/>
          <w:color w:val="auto"/>
          <w:sz w:val="32"/>
          <w:szCs w:val="32"/>
        </w:rPr>
        <w:t>”</w:t>
      </w:r>
      <w:r>
        <w:rPr>
          <w:rFonts w:ascii="仿宋_GB2312" w:eastAsia="仿宋_GB2312"/>
          <w:color w:val="auto"/>
          <w:sz w:val="32"/>
          <w:szCs w:val="32"/>
        </w:rPr>
        <w:t>现代服务业产业集群</w:t>
      </w:r>
      <w:r>
        <w:rPr>
          <w:rFonts w:hint="eastAsia" w:ascii="仿宋_GB2312" w:eastAsia="仿宋_GB2312"/>
          <w:color w:val="auto"/>
          <w:sz w:val="32"/>
          <w:szCs w:val="32"/>
        </w:rPr>
        <w:t>“稳链、强链、延链、补链”的关键创新需求，由龙头企业主导、高校院所深度参与，全力攻克一批关键核心技术难题，加快形成引领性强、覆盖面广、集成度高的创新产品、成套设备和集成创新体系，推动关键核心技术成果实现就地转化和工程化、商业化应用。</w:t>
      </w:r>
    </w:p>
    <w:p w14:paraId="725DC14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olor w:val="auto"/>
          <w:sz w:val="32"/>
          <w:szCs w:val="32"/>
        </w:rPr>
      </w:pPr>
      <w:r>
        <w:rPr>
          <w:rFonts w:hint="eastAsia" w:ascii="仿宋_GB2312" w:eastAsia="仿宋_GB2312"/>
          <w:b/>
          <w:color w:val="auto"/>
          <w:sz w:val="32"/>
          <w:szCs w:val="32"/>
        </w:rPr>
        <w:t>申报条件：</w:t>
      </w:r>
      <w:r>
        <w:rPr>
          <w:rFonts w:hint="eastAsia" w:ascii="仿宋_GB2312" w:eastAsia="仿宋_GB2312"/>
          <w:color w:val="auto"/>
          <w:sz w:val="32"/>
          <w:szCs w:val="32"/>
        </w:rPr>
        <w:t>项目申报主体为科研“新四军”单位、高新技术企业、高校、科研院所等。</w:t>
      </w:r>
      <w:r>
        <w:rPr>
          <w:rFonts w:hint="eastAsia" w:ascii="仿宋_GB2312" w:hAnsi="仿宋_GB2312" w:eastAsia="仿宋_GB2312" w:cs="仿宋_GB2312"/>
          <w:color w:val="auto"/>
          <w:sz w:val="32"/>
          <w:szCs w:val="32"/>
        </w:rPr>
        <w:t>项目应</w:t>
      </w:r>
      <w:r>
        <w:rPr>
          <w:rFonts w:hint="eastAsia" w:ascii="仿宋_GB2312" w:eastAsia="仿宋_GB2312"/>
          <w:color w:val="auto"/>
          <w:sz w:val="32"/>
          <w:szCs w:val="32"/>
        </w:rPr>
        <w:t>处于建设研发中期阶段，预期能够围绕我市重点产业领域</w:t>
      </w:r>
      <w:r>
        <w:rPr>
          <w:rFonts w:hint="eastAsia" w:ascii="仿宋_GB2312" w:hAnsi="仿宋_GB2312" w:eastAsia="仿宋_GB2312" w:cs="仿宋_GB2312"/>
          <w:color w:val="auto"/>
          <w:sz w:val="32"/>
          <w:szCs w:val="32"/>
        </w:rPr>
        <w:t>攻克关键核心技术，</w:t>
      </w:r>
      <w:r>
        <w:rPr>
          <w:rFonts w:hint="eastAsia" w:ascii="仿宋_GB2312" w:eastAsia="仿宋_GB2312"/>
          <w:color w:val="auto"/>
          <w:sz w:val="32"/>
          <w:szCs w:val="32"/>
        </w:rPr>
        <w:t>研发转化一批标志性新技术、新工艺或新产品，产生显著经济社会效益。企业申报的项目，要有较强的研发基础和资金配套能力，自筹资金不低于总投资</w:t>
      </w:r>
      <w:r>
        <w:rPr>
          <w:rFonts w:ascii="仿宋_GB2312" w:eastAsia="仿宋_GB2312"/>
          <w:color w:val="auto"/>
          <w:sz w:val="32"/>
          <w:szCs w:val="32"/>
        </w:rPr>
        <w:t>70%</w:t>
      </w:r>
      <w:r>
        <w:rPr>
          <w:rFonts w:hint="eastAsia" w:ascii="仿宋_GB2312" w:eastAsia="仿宋_GB2312"/>
          <w:color w:val="auto"/>
          <w:sz w:val="32"/>
          <w:szCs w:val="32"/>
        </w:rPr>
        <w:t>。项目执行期一般为</w:t>
      </w:r>
      <w:r>
        <w:rPr>
          <w:rFonts w:ascii="仿宋_GB2312" w:eastAsia="仿宋_GB2312"/>
          <w:color w:val="auto"/>
          <w:sz w:val="32"/>
          <w:szCs w:val="32"/>
        </w:rPr>
        <w:t>2-3年</w:t>
      </w:r>
      <w:r>
        <w:rPr>
          <w:rFonts w:hint="eastAsia" w:ascii="仿宋_GB2312" w:eastAsia="仿宋_GB2312"/>
          <w:color w:val="auto"/>
          <w:sz w:val="32"/>
          <w:szCs w:val="32"/>
        </w:rPr>
        <w:t>。</w:t>
      </w:r>
    </w:p>
    <w:p w14:paraId="26B269B5">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、基础研究计划专项</w:t>
      </w:r>
    </w:p>
    <w:p w14:paraId="07A08471">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聚焦我市重大关键技术问题，鼓励自由探索和目标导向相结合，支持在兰高校、科研院所、医疗机构及企业科研人员围绕关键领域与核心问题，开展有组织的基础研究和应用基础研究。</w:t>
      </w:r>
    </w:p>
    <w:p w14:paraId="0C50C73D">
      <w:pPr>
        <w:spacing w:line="60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申报条件：</w:t>
      </w:r>
      <w:r>
        <w:rPr>
          <w:rFonts w:hint="eastAsia" w:ascii="仿宋_GB2312" w:eastAsia="仿宋_GB2312"/>
          <w:color w:val="auto"/>
          <w:sz w:val="32"/>
          <w:szCs w:val="32"/>
        </w:rPr>
        <w:t>项目申报主体为在兰高校、科研院所、医疗机构及科技企业</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。项目</w:t>
      </w:r>
      <w:r>
        <w:rPr>
          <w:rFonts w:ascii="仿宋_GB2312" w:eastAsia="仿宋_GB2312"/>
          <w:color w:val="auto"/>
          <w:sz w:val="32"/>
          <w:szCs w:val="32"/>
        </w:rPr>
        <w:t>应处于初始研究阶段，</w:t>
      </w:r>
      <w:r>
        <w:rPr>
          <w:rFonts w:hint="eastAsia" w:ascii="仿宋_GB2312" w:eastAsia="仿宋_GB2312"/>
          <w:color w:val="auto"/>
          <w:sz w:val="32"/>
          <w:szCs w:val="32"/>
        </w:rPr>
        <w:t>研究内容</w:t>
      </w:r>
      <w:r>
        <w:rPr>
          <w:rFonts w:ascii="仿宋_GB2312" w:eastAsia="仿宋_GB2312"/>
          <w:color w:val="auto"/>
          <w:sz w:val="32"/>
          <w:szCs w:val="32"/>
        </w:rPr>
        <w:t>符合全市产业发展需求</w:t>
      </w:r>
      <w:r>
        <w:rPr>
          <w:rFonts w:hint="eastAsia" w:ascii="仿宋_GB2312" w:eastAsia="仿宋_GB2312"/>
          <w:color w:val="auto"/>
          <w:sz w:val="32"/>
          <w:szCs w:val="32"/>
        </w:rPr>
        <w:t>，</w:t>
      </w:r>
      <w:r>
        <w:rPr>
          <w:rFonts w:ascii="仿宋_GB2312" w:eastAsia="仿宋_GB2312"/>
          <w:color w:val="auto"/>
          <w:sz w:val="32"/>
          <w:szCs w:val="32"/>
        </w:rPr>
        <w:t>具备明确的研究方向、路径及预期目标。</w:t>
      </w:r>
      <w:r>
        <w:rPr>
          <w:rFonts w:hint="eastAsia" w:ascii="仿宋_GB2312" w:eastAsia="仿宋_GB2312"/>
          <w:color w:val="auto"/>
          <w:sz w:val="32"/>
          <w:szCs w:val="32"/>
        </w:rPr>
        <w:t>项目执行期一般为2年。</w:t>
      </w:r>
    </w:p>
    <w:p w14:paraId="67E1EDFD">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科技企业培育计划专项</w:t>
      </w:r>
    </w:p>
    <w:p w14:paraId="59B6F3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（一）科技创新型企业培育专项</w:t>
      </w:r>
    </w:p>
    <w:p w14:paraId="4743ECB2">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面向</w:t>
      </w:r>
      <w:r>
        <w:rPr>
          <w:rFonts w:hint="eastAsia" w:ascii="仿宋_GB2312" w:eastAsia="仿宋_GB2312"/>
          <w:color w:val="auto"/>
          <w:sz w:val="32"/>
          <w:szCs w:val="32"/>
        </w:rPr>
        <w:t>生物医药、航空航天、</w:t>
      </w:r>
      <w:r>
        <w:rPr>
          <w:rFonts w:hint="eastAsia" w:ascii="仿宋_GB2312" w:eastAsia="仿宋_GB2312"/>
          <w:color w:val="auto"/>
          <w:sz w:val="32"/>
          <w:szCs w:val="32"/>
          <w:lang w:val="en-US" w:eastAsia="zh-CN"/>
        </w:rPr>
        <w:t>人工智能+、</w:t>
      </w:r>
      <w:r>
        <w:rPr>
          <w:rFonts w:hint="eastAsia" w:ascii="仿宋_GB2312" w:eastAsia="仿宋_GB2312"/>
          <w:color w:val="auto"/>
          <w:sz w:val="32"/>
          <w:szCs w:val="32"/>
        </w:rPr>
        <w:t>新材料、高新技术服务、新能源与节能、资源与环境、先进制造与自动化、量子科技、现代农业等高新技术领域</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支持</w:t>
      </w:r>
      <w:r>
        <w:rPr>
          <w:rFonts w:hint="eastAsia" w:ascii="仿宋_GB2312" w:eastAsia="仿宋_GB2312"/>
          <w:color w:val="auto"/>
          <w:sz w:val="32"/>
          <w:szCs w:val="32"/>
        </w:rPr>
        <w:t>科技型中小企业、省级科技创新型企业、高新技术企业</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开展创新</w:t>
      </w:r>
      <w:r>
        <w:rPr>
          <w:rFonts w:hint="eastAsia" w:ascii="仿宋_GB2312" w:eastAsia="仿宋_GB2312"/>
          <w:color w:val="auto"/>
          <w:sz w:val="32"/>
          <w:szCs w:val="32"/>
          <w:lang w:val="en-US" w:eastAsia="zh-CN"/>
        </w:rPr>
        <w:t>研发活动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鼓励综合型科技服务业企业</w:t>
      </w:r>
      <w:r>
        <w:rPr>
          <w:rFonts w:hint="eastAsia" w:ascii="仿宋_GB2312" w:eastAsia="仿宋_GB2312"/>
          <w:color w:val="auto"/>
          <w:sz w:val="32"/>
          <w:szCs w:val="32"/>
        </w:rPr>
        <w:t>提升自主创新能力</w:t>
      </w:r>
      <w:r>
        <w:rPr>
          <w:rFonts w:hint="eastAsia" w:ascii="仿宋_GB2312" w:eastAsia="仿宋_GB2312"/>
          <w:color w:val="auto"/>
          <w:sz w:val="32"/>
          <w:szCs w:val="32"/>
          <w:lang w:eastAsia="zh-CN"/>
        </w:rPr>
        <w:t>，</w:t>
      </w:r>
      <w:r>
        <w:rPr>
          <w:rFonts w:hint="eastAsia" w:ascii="仿宋_GB2312" w:eastAsia="仿宋_GB2312"/>
          <w:color w:val="auto"/>
          <w:sz w:val="32"/>
          <w:szCs w:val="32"/>
        </w:rPr>
        <w:t>拓展工业设计服务、专业设计服务、知识产权等业务，</w:t>
      </w:r>
      <w:r>
        <w:rPr>
          <w:rFonts w:hint="eastAsia" w:ascii="仿宋_GB2312" w:eastAsia="仿宋_GB2312"/>
          <w:color w:val="auto"/>
          <w:sz w:val="32"/>
          <w:szCs w:val="32"/>
          <w:lang w:val="en-US" w:eastAsia="zh-CN"/>
        </w:rPr>
        <w:t>补齐细分领域短板</w:t>
      </w:r>
      <w:r>
        <w:rPr>
          <w:rFonts w:hint="eastAsia" w:ascii="仿宋_GB2312" w:eastAsia="仿宋_GB2312"/>
          <w:color w:val="auto"/>
          <w:sz w:val="32"/>
          <w:szCs w:val="32"/>
        </w:rPr>
        <w:t>。</w:t>
      </w:r>
    </w:p>
    <w:p w14:paraId="21467DDD">
      <w:pPr>
        <w:spacing w:line="600" w:lineRule="exact"/>
        <w:ind w:firstLine="643" w:firstLineChars="200"/>
        <w:rPr>
          <w:rFonts w:ascii="仿宋_GB2312" w:hAnsi="黑体" w:eastAsia="仿宋_GB2312" w:cs="仿宋_GB2312"/>
          <w:color w:val="auto"/>
          <w:sz w:val="32"/>
          <w:szCs w:val="32"/>
        </w:rPr>
      </w:pPr>
      <w:r>
        <w:rPr>
          <w:rFonts w:hint="eastAsia" w:ascii="仿宋_GB2312" w:eastAsia="仿宋_GB2312"/>
          <w:b/>
          <w:color w:val="auto"/>
          <w:sz w:val="32"/>
          <w:szCs w:val="32"/>
        </w:rPr>
        <w:t>申报条件：</w:t>
      </w:r>
      <w:r>
        <w:rPr>
          <w:rFonts w:hint="eastAsia" w:ascii="仿宋_GB2312" w:hAnsi="黑体" w:eastAsia="仿宋_GB2312" w:cs="仿宋_GB2312"/>
          <w:color w:val="auto"/>
          <w:sz w:val="32"/>
          <w:szCs w:val="32"/>
        </w:rPr>
        <w:t>项目申报主体为在兰注册的科技创新型企业</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lang w:val="en-US" w:eastAsia="zh-CN"/>
        </w:rPr>
        <w:t>科技型中小企业、高新技术企业、有研发活动的规上工业企业、科技研发服务业企业等）</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rPr>
        <w:t>预期可获得对应的专利、标准等知识产权并实现产业化应用</w:t>
      </w:r>
      <w:r>
        <w:rPr>
          <w:rFonts w:hint="eastAsia" w:ascii="仿宋_GB2312" w:eastAsia="仿宋_GB2312"/>
          <w:color w:val="auto"/>
          <w:sz w:val="32"/>
          <w:szCs w:val="32"/>
        </w:rPr>
        <w:t>。项目执行期一般为2年。</w:t>
      </w:r>
    </w:p>
    <w:p w14:paraId="09511C73">
      <w:pPr>
        <w:numPr>
          <w:ilvl w:val="0"/>
          <w:numId w:val="0"/>
        </w:numPr>
        <w:spacing w:line="600" w:lineRule="exact"/>
        <w:ind w:firstLine="640" w:firstLineChars="200"/>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（二）军民融合科创企业培育专项</w:t>
      </w:r>
    </w:p>
    <w:p w14:paraId="588BA0B9">
      <w:pPr>
        <w:numPr>
          <w:ilvl w:val="0"/>
          <w:numId w:val="0"/>
        </w:num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聚焦航空航天、军工电子、高端装备、核技术应用、低空经济等重点领域，支持实施军民融合科技创新项目，培育壮大军民融合科技企业。重点围绕“民参军”和“军转民”两个方向，组织开展军民两用技术联合攻关，突破一批制约产业发展的共性关键技术，促进军民技术双向转移转化应用。项目执行期一般为</w:t>
      </w:r>
      <w:r>
        <w:rPr>
          <w:rFonts w:ascii="仿宋_GB2312" w:eastAsia="仿宋_GB2312"/>
          <w:color w:val="auto"/>
          <w:sz w:val="32"/>
          <w:szCs w:val="32"/>
        </w:rPr>
        <w:t>2年。</w:t>
      </w:r>
    </w:p>
    <w:p w14:paraId="0F3962EA">
      <w:pPr>
        <w:spacing w:line="60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申报条件：</w:t>
      </w:r>
      <w:r>
        <w:rPr>
          <w:rFonts w:hint="eastAsia" w:ascii="仿宋_GB2312" w:eastAsia="仿宋_GB2312"/>
          <w:color w:val="auto"/>
          <w:sz w:val="32"/>
          <w:szCs w:val="32"/>
        </w:rPr>
        <w:t>申报单位须取得武器装备科研生产许可证、装备承制资格证、军工保密资格认证、国军标质量体系认证和三级国防计量技术机构许可等资质。鼓励拥有自主知识产权的军民两用技术成果、具备国防科研生产配套能力或承接军工单位成果转化应用的企业优先申报。项目内容须符合国家法律法规要求和军民融合发展方向，具有明确的军工项目或型号任务需求牵引的优先支持。</w:t>
      </w:r>
    </w:p>
    <w:p w14:paraId="13177D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ABD2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38E2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38E2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21A2B"/>
    <w:rsid w:val="06A31DF0"/>
    <w:rsid w:val="09750F6D"/>
    <w:rsid w:val="0A987607"/>
    <w:rsid w:val="0FAD1DC8"/>
    <w:rsid w:val="12EF1A32"/>
    <w:rsid w:val="14A21A2B"/>
    <w:rsid w:val="14C275F8"/>
    <w:rsid w:val="17AB180A"/>
    <w:rsid w:val="26501372"/>
    <w:rsid w:val="3C207720"/>
    <w:rsid w:val="3CFA5C50"/>
    <w:rsid w:val="3E1C0263"/>
    <w:rsid w:val="484D3C87"/>
    <w:rsid w:val="53EB4CBE"/>
    <w:rsid w:val="54501B9E"/>
    <w:rsid w:val="61CF2CAC"/>
    <w:rsid w:val="6FBF4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link w:val="12"/>
    <w:qFormat/>
    <w:uiPriority w:val="0"/>
    <w:pPr>
      <w:spacing w:before="240" w:beforeLines="0" w:beforeAutospacing="0" w:after="60" w:afterLines="0" w:afterAutospacing="0"/>
      <w:jc w:val="center"/>
      <w:outlineLvl w:val="0"/>
    </w:pPr>
    <w:rPr>
      <w:rFonts w:ascii="Arial" w:hAnsi="Arial"/>
      <w:b/>
      <w:sz w:val="32"/>
    </w:rPr>
  </w:style>
  <w:style w:type="character" w:styleId="11">
    <w:name w:val="Strong"/>
    <w:basedOn w:val="10"/>
    <w:qFormat/>
    <w:uiPriority w:val="0"/>
    <w:rPr>
      <w:b/>
    </w:rPr>
  </w:style>
  <w:style w:type="character" w:customStyle="1" w:styleId="12">
    <w:name w:val="标题 字符"/>
    <w:basedOn w:val="10"/>
    <w:link w:val="8"/>
    <w:qFormat/>
    <w:uiPriority w:val="0"/>
    <w:rPr>
      <w:rFonts w:ascii="等线 Light" w:hAnsi="等线 Light" w:eastAsia="等线 Light"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9047cef0-5095-426f-9d39-01f74845a7dc</errorID>
      <errorWord>十五五</errorWord>
      <group>L1_Political</group>
      <groupName>政治性问题</groupName>
      <ability>L2_Keyword</ability>
      <abilityName>固定表述</abilityName>
      <candidateList>
        <item>‘十五五’</item>
      </candidateList>
      <explain>注意检查当前固定表述标点是否使用规范。</explain>
      <paraID>43094B8B</paraID>
      <start>76</start>
      <end>79</end>
      <status>ignored</status>
      <modifiedWord/>
      <trackRevisions>false</trackRevisions>
    </reviewItem>
    <reviewItem>
      <errorID>c9d4d5e3-4329-4696-a5cc-bedf113d1706</errorID>
      <errorWord>。</errorWord>
      <group>L1_Grammar</group>
      <groupName>语法问题</groupName>
      <ability>L2_Order</ability>
      <abilityName>语序不当</abilityName>
      <candidateList>
        <item>要求。</item>
      </candidateList>
      <explain>句子可能没有遵循时空、逻辑顺序，或者介词、关联词等位置不当。</explain>
      <paraID>43094B8B</paraID>
      <start>84</start>
      <end>85</end>
      <status>ignored</status>
      <modifiedWord/>
      <trackRevisions>false</trackRevisions>
    </reviewItem>
    <reviewItem>
      <errorID>5743ee65-5631-493d-baa0-2a0bf931b58a</errorID>
      <errorWord>,</errorWord>
      <group>L1_Format</group>
      <groupName>格式问题</groupName>
      <ability>L2_HalfPunc_CN</ability>
      <abilityName/>
      <candidateList>
        <item>，</item>
      </candidateList>
      <explain>文本全半角错误。</explain>
      <paraID>57600613</paraID>
      <start>28</start>
      <end>29</end>
      <status>modified</status>
      <modifiedWord>，</modifiedWord>
      <trackRevisions>false</trackRevisions>
    </reviewItem>
    <reviewItem>
      <errorID>35b37c08-14d9-4ae4-8d7e-8abf3dc5ded9</errorID>
      <errorWord>:</errorWord>
      <group>L1_Format</group>
      <groupName>格式问题</groupName>
      <ability>L2_HalfPunc_CN</ability>
      <abilityName/>
      <candidateList>
        <item>：</item>
      </candidateList>
      <explain>文本全半角错误。</explain>
      <paraID> 6E6492E</paraID>
      <start>2</start>
      <end>3</end>
      <status>modified</status>
      <modifiedWord>：</modifiedWord>
      <trackRevisions>false</trackRevisions>
    </reviewItem>
    <reviewItem>
      <errorID>fbd289f8-2029-4dec-864d-1881414cb836</errorID>
      <errorWord>)</errorWord>
      <group>L1_Format</group>
      <groupName>格式问题</groupName>
      <ability>L2_HalfPunc_CN</ability>
      <abilityName/>
      <candidateList>
        <item>）</item>
      </candidateList>
      <explain>文本全半角错误。</explain>
      <paraID>5A6C4D05</paraID>
      <start>2</start>
      <end>3</end>
      <status>modified</status>
      <modifiedWord>）</modifiedWord>
      <trackRevisions>false</trackRevisions>
    </reviewItem>
    <reviewItem>
      <errorID>f183e340-88d4-417c-904e-65fc3169cc75</errorID>
      <errorWord>2-3年</errorWord>
      <group>L1_Word</group>
      <groupName>字词问题</groupName>
      <ability>L2_Typo</ability>
      <abilityName>字词错误</abilityName>
      <candidateList>
        <item>2～3年</item>
      </candidateList>
      <explain/>
      <paraID>422A491F</paraID>
      <start>133</start>
      <end>137</end>
      <status>ignored</status>
      <modifiedWord/>
      <trackRevisions>false</trackRevisions>
    </reviewItem>
    <reviewItem>
      <errorID>09e02dd1-60d7-4399-b7f8-ef120fd0dbc7</errorID>
      <errorWord>2-3年</errorWord>
      <group>L1_Word</group>
      <groupName>字词问题</groupName>
      <ability>L2_Typo</ability>
      <abilityName>字词错误</abilityName>
      <candidateList>
        <item>2～3年</item>
      </candidateList>
      <explain/>
      <paraID>725DC143</paraID>
      <start>154</start>
      <end>158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cab3d-b172-4569-857c-2ef926117e62}">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4030</Words>
  <Characters>4176</Characters>
  <Lines>0</Lines>
  <Paragraphs>0</Paragraphs>
  <TotalTime>53</TotalTime>
  <ScaleCrop>false</ScaleCrop>
  <LinksUpToDate>false</LinksUpToDate>
  <CharactersWithSpaces>4198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2026-05-12T02:51:00Z</dcterms:created>
  <dc:creator>春尖</dc:creator>
  <cp:lastModifiedBy>Murphy</cp:lastModifiedBy>
  <cp:lastPrinted>2026-05-21T14:06:00Z</cp:lastPrinted>
  <dcterms:modified xsi:type="dcterms:W3CDTF">2026-05-25T08:20:36Z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90725DC147044CB39508E0E1FE083A93_13</vt:lpwstr>
  </property>
  <property fmtid="{D5CDD505-2E9C-101B-9397-08002B2CF9AE}" pid="4" name="KSOTemplateDocerSaveRecord">
    <vt:lpwstr>eyJoZGlkIjoiY2Y1NDZlYWVmYjdlOTM2ZDZiMTllZmQzOTdiODg2NTEiLCJ1c2VySWQiOiI1MTc4NTIyNjYifQ==</vt:lpwstr>
  </property>
</Properties>
</file>